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Основные задачи 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– обеспечение равных возможностей для полноценного развития каждого ребенка в            период дошкольного детства независимо от места проживания, пола, нации, языка, социального статуса;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социокультурных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ценностей, принятых в обществе правил и норм поведения в интересах человека, семьи, общества;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– формирование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социокультурной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среды, соответствующей возрастным и индивидуальным особенностям детей;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-  творческая организация (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креативность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) воспитательно-образовательного процесса;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- 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- уважительное отношение к результатам детского творчества;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– обеспечение преемственности целей, задач и содержания дошкольного общего и начального общего образования исключающей умственные и физические перегрузки в содержании образования детей дошкольного возраста, обеспечивающей отсутствие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давления предметного обучения.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        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Обучающие программы и методики</w:t>
      </w: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Развитие современного общества предъявляет новые требования к дошкольным образовательным учреждениям, к организации в них воспитательно-</w:t>
      </w: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lastRenderedPageBreak/>
        <w:t>образовательного процесса, выбору и обоснованию основных и парциальных программ.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   Воспитательно-образовательная деятельность детского сада основывается на примерной общеобразовательной Программе дошкольного образования «От рождения до школы» под редакцией  (Н.Е.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Вераксы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, Т.С. Комаровой, М.А. Васильевой) </w:t>
      </w: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Образовательная программа ДОУ разработана в соответствии с требованиями основных нормативных документов: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   - Федеральным законом от 29 декабря 2012 г. N 273-ФЗ "Об образовании в Российской Федерации";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   - Конвенция о правах ребенка. </w:t>
      </w:r>
      <w:proofErr w:type="gram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Принята</w:t>
      </w:r>
      <w:proofErr w:type="gram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резолюцией 44/25 Генеральной Ассамблеи от 20 ноября 1989 года.─ ООН 1990.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 - Распоряжение Правительства Российской Федерации от 4 сентября 2014 г. № 1726-р о Концепции дополнительного образования детей.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  - Приказ Министерства образования и науки Российской Федерации от17 октября 2013г. 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  № 30384).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 - Приказ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 </w:t>
      </w: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(Зарегистрировано в Минюсте России 26.09.2013 № 30038)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-        Приказ Министерства образования и науки РФ от 14 июня 2013 г. № 462 г. Москва «Об утверждении Порядка проведения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самообследования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образовательной организацией»</w:t>
      </w: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 </w:t>
      </w: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(Зарегистрирован в Минюсте РФ 27 июня 2013 г. № 28908)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- Письмом МО РФ от 29.12.2012 N 273-ФЗ «О реализации права  ДОУ на выбор программ и педагогических технологий»;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- Постановлением Главного государственного санитарного врача Российской Федерации от 15 мая 2013 г. N 26 г. Москва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"Об утверждении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СанПиН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    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- Уставом ДОУ;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При организации образовательного процесса учитываются принципы интеграции образовательных областей: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Georgia" w:eastAsia="Times New Roman" w:hAnsi="Georgia" w:cs="Times New Roman"/>
          <w:color w:val="452C03"/>
          <w:sz w:val="18"/>
          <w:szCs w:val="18"/>
        </w:rPr>
        <w:t> </w:t>
      </w:r>
    </w:p>
    <w:p w:rsidR="005A21D8" w:rsidRPr="005A21D8" w:rsidRDefault="005A21D8" w:rsidP="005A21D8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 xml:space="preserve">Физическое </w:t>
      </w:r>
      <w:proofErr w:type="spellStart"/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развити</w:t>
      </w:r>
      <w:proofErr w:type="spellEnd"/>
    </w:p>
    <w:p w:rsidR="005A21D8" w:rsidRPr="005A21D8" w:rsidRDefault="005A21D8" w:rsidP="005A21D8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Познавательное развитие</w:t>
      </w:r>
    </w:p>
    <w:p w:rsidR="005A21D8" w:rsidRPr="005A21D8" w:rsidRDefault="005A21D8" w:rsidP="005A21D8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Речевое развитие </w:t>
      </w:r>
    </w:p>
    <w:p w:rsidR="005A21D8" w:rsidRPr="005A21D8" w:rsidRDefault="005A21D8" w:rsidP="005A21D8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lastRenderedPageBreak/>
        <w:t>Художественно - эстетическое развитие</w:t>
      </w:r>
    </w:p>
    <w:p w:rsidR="005A21D8" w:rsidRPr="005A21D8" w:rsidRDefault="005A21D8" w:rsidP="005A21D8">
      <w:pPr>
        <w:numPr>
          <w:ilvl w:val="0"/>
          <w:numId w:val="1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Социально - коммуникативное развитие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Georgia" w:eastAsia="Times New Roman" w:hAnsi="Georgia" w:cs="Times New Roman"/>
          <w:color w:val="452C03"/>
          <w:sz w:val="18"/>
          <w:szCs w:val="18"/>
        </w:rPr>
        <w:t>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Образовательные задачи решаются в процессе: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Georgia" w:eastAsia="Times New Roman" w:hAnsi="Georgia" w:cs="Times New Roman"/>
          <w:color w:val="452C03"/>
          <w:sz w:val="18"/>
          <w:szCs w:val="18"/>
        </w:rPr>
        <w:t> </w:t>
      </w:r>
    </w:p>
    <w:p w:rsidR="005A21D8" w:rsidRPr="005A21D8" w:rsidRDefault="005A21D8" w:rsidP="005A21D8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Совместной деятельности взрослого и детей,</w:t>
      </w:r>
    </w:p>
    <w:p w:rsidR="005A21D8" w:rsidRPr="005A21D8" w:rsidRDefault="005A21D8" w:rsidP="005A21D8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Самостоятельной деятельности детей,</w:t>
      </w:r>
    </w:p>
    <w:p w:rsidR="005A21D8" w:rsidRPr="005A21D8" w:rsidRDefault="005A21D8" w:rsidP="005A21D8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Взаимодействия с семьями детей,</w:t>
      </w:r>
    </w:p>
    <w:p w:rsidR="005A21D8" w:rsidRPr="005A21D8" w:rsidRDefault="005A21D8" w:rsidP="005A21D8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В ходе режимных моментов,</w:t>
      </w:r>
    </w:p>
    <w:p w:rsidR="005A21D8" w:rsidRPr="005A21D8" w:rsidRDefault="005A21D8" w:rsidP="005A21D8">
      <w:pPr>
        <w:numPr>
          <w:ilvl w:val="0"/>
          <w:numId w:val="2"/>
        </w:numPr>
        <w:spacing w:before="48" w:after="48" w:line="240" w:lineRule="atLeast"/>
        <w:ind w:left="480"/>
        <w:rPr>
          <w:rFonts w:ascii="Georgia" w:eastAsia="Times New Roman" w:hAnsi="Georgia" w:cs="Times New Roman"/>
          <w:color w:val="0E190B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0E190B"/>
          <w:sz w:val="27"/>
          <w:szCs w:val="27"/>
        </w:rPr>
        <w:t>В непосредственно образовательной деятельности.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Georgia" w:eastAsia="Times New Roman" w:hAnsi="Georgia" w:cs="Times New Roman"/>
          <w:color w:val="452C03"/>
          <w:sz w:val="18"/>
          <w:szCs w:val="18"/>
        </w:rPr>
        <w:t>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Содержание основных образовательных программ ДОУ детского сада «Сказка»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Реализуемые образовательные  программы, в том числе и парциальные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Georgia" w:eastAsia="Times New Roman" w:hAnsi="Georgia" w:cs="Times New Roman"/>
          <w:color w:val="452C03"/>
          <w:sz w:val="18"/>
          <w:szCs w:val="18"/>
        </w:rPr>
        <w:t>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1.Примерная общеобразовательная программа дошкольного образования       « От рождения до школы» под ред. Н.Е.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Вераксы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,   Т.С. Комаровой,  М.А Васильевой.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2.«Формирование элементарных математических представлений « И.А.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Помораева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, В.А.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Позина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3. «Физическое воспитание в детском саду» Э.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Степаненкова</w:t>
      </w:r>
      <w:proofErr w:type="spellEnd"/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4. «Музыкальное развитие детей</w:t>
      </w: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»</w:t>
      </w:r>
      <w:r w:rsidRPr="005A21D8">
        <w:rPr>
          <w:rFonts w:ascii="Times New Roman" w:eastAsia="Times New Roman" w:hAnsi="Times New Roman" w:cs="Times New Roman"/>
          <w:color w:val="452C03"/>
          <w:sz w:val="27"/>
        </w:rPr>
        <w:t> </w:t>
      </w: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автор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Радынова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О.П.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5. «Программа  по художественному  воспитанию,  обучению  и  развитию  детей  2-7   лет  «Цветные  ладошки» Лыкова  И.А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6. «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Изодеятельность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и детская литература. Мир сказки» Лыкова  И.А. Васютина Н.Е. 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7. Развитие речи в детском саду» В.В.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Гербова</w:t>
      </w:r>
      <w:proofErr w:type="spellEnd"/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8. «Коррекция нарушения речи</w:t>
      </w: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» </w:t>
      </w: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Филичева Т.Б., Чиркина Г.В.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 9. «Музыкальный мир» Т.И.Бакланова, Г.П.Новикова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10. «Развивающая педагогика оздоровления</w:t>
      </w: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» </w:t>
      </w: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В.Т. Кудрявцев, Б.Б. Егорова 11.«Наш дом – природа» Н.А.Рыжова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12. «Неизведанное рядом»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О.В.Дыбина</w:t>
      </w:r>
      <w:proofErr w:type="spellEnd"/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13. «Фольклорный праздник».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Г.М.Науменко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,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14.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Е.А.Алябьева</w:t>
      </w:r>
      <w:proofErr w:type="spellEnd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 xml:space="preserve"> «Знакомим детей с человеческим организмом » 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Е.А.Алябьева</w:t>
      </w:r>
      <w:proofErr w:type="spellEnd"/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15.</w:t>
      </w:r>
      <w:r w:rsidRPr="005A21D8">
        <w:rPr>
          <w:rFonts w:ascii="Times New Roman" w:eastAsia="Times New Roman" w:hAnsi="Times New Roman" w:cs="Times New Roman"/>
          <w:i/>
          <w:iCs/>
          <w:color w:val="452C03"/>
          <w:sz w:val="27"/>
        </w:rPr>
        <w:t xml:space="preserve"> «СА-ФИ-ДАНСЕ» Ж.Е. </w:t>
      </w:r>
      <w:proofErr w:type="spellStart"/>
      <w:r w:rsidRPr="005A21D8">
        <w:rPr>
          <w:rFonts w:ascii="Times New Roman" w:eastAsia="Times New Roman" w:hAnsi="Times New Roman" w:cs="Times New Roman"/>
          <w:i/>
          <w:iCs/>
          <w:color w:val="452C03"/>
          <w:sz w:val="27"/>
        </w:rPr>
        <w:t>Фирилева</w:t>
      </w:r>
      <w:proofErr w:type="spellEnd"/>
      <w:r w:rsidRPr="005A21D8">
        <w:rPr>
          <w:rFonts w:ascii="Times New Roman" w:eastAsia="Times New Roman" w:hAnsi="Times New Roman" w:cs="Times New Roman"/>
          <w:i/>
          <w:iCs/>
          <w:color w:val="452C03"/>
          <w:sz w:val="27"/>
        </w:rPr>
        <w:t>, Е.Г.Сайкина</w:t>
      </w:r>
    </w:p>
    <w:p w:rsidR="005A21D8" w:rsidRPr="005A21D8" w:rsidRDefault="005A21D8" w:rsidP="005A21D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16. «Театральная деятельность в детском саду</w:t>
      </w:r>
      <w:r w:rsidRPr="005A21D8">
        <w:rPr>
          <w:rFonts w:ascii="Times New Roman" w:eastAsia="Times New Roman" w:hAnsi="Times New Roman" w:cs="Times New Roman"/>
          <w:b/>
          <w:bCs/>
          <w:color w:val="452C03"/>
          <w:sz w:val="27"/>
        </w:rPr>
        <w:t>»  </w:t>
      </w:r>
      <w:proofErr w:type="spellStart"/>
      <w:r w:rsidRPr="005A21D8">
        <w:rPr>
          <w:rFonts w:ascii="Times New Roman" w:eastAsia="Times New Roman" w:hAnsi="Times New Roman" w:cs="Times New Roman"/>
          <w:color w:val="452C03"/>
          <w:sz w:val="27"/>
          <w:szCs w:val="27"/>
        </w:rPr>
        <w:t>Щеткин</w:t>
      </w:r>
      <w:proofErr w:type="spellEnd"/>
    </w:p>
    <w:p w:rsidR="00000000" w:rsidRDefault="005A21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347"/>
    <w:multiLevelType w:val="multilevel"/>
    <w:tmpl w:val="9D6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72324"/>
    <w:multiLevelType w:val="multilevel"/>
    <w:tmpl w:val="A856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D8"/>
    <w:rsid w:val="005A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D8"/>
    <w:rPr>
      <w:b/>
      <w:bCs/>
    </w:rPr>
  </w:style>
  <w:style w:type="character" w:customStyle="1" w:styleId="apple-converted-space">
    <w:name w:val="apple-converted-space"/>
    <w:basedOn w:val="a0"/>
    <w:rsid w:val="005A21D8"/>
  </w:style>
  <w:style w:type="character" w:styleId="a5">
    <w:name w:val="Emphasis"/>
    <w:basedOn w:val="a0"/>
    <w:uiPriority w:val="20"/>
    <w:qFormat/>
    <w:rsid w:val="005A2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2016-05-04T19:03:00Z</dcterms:created>
  <dcterms:modified xsi:type="dcterms:W3CDTF">2016-05-04T19:03:00Z</dcterms:modified>
</cp:coreProperties>
</file>